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2763F4"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2763F4" w:rsidP="002763F4">
            <w:pPr>
              <w:shd w:val="clear" w:color="auto" w:fill="FFFFFF" w:themeFill="background1"/>
              <w:jc w:val="both"/>
              <w:rPr>
                <w:szCs w:val="24"/>
              </w:rPr>
            </w:pPr>
            <w:r>
              <w:rPr>
                <w:szCs w:val="24"/>
              </w:rPr>
              <w:t xml:space="preserve">Zakon o izmjenama </w:t>
            </w:r>
            <w:r w:rsidR="00175C52">
              <w:rPr>
                <w:szCs w:val="24"/>
              </w:rPr>
              <w:t xml:space="preserve">i dopunama </w:t>
            </w:r>
            <w:r>
              <w:rPr>
                <w:szCs w:val="24"/>
              </w:rPr>
              <w:t>Zakona o provedbi U</w:t>
            </w:r>
            <w:r w:rsidRPr="00D62995">
              <w:rPr>
                <w:szCs w:val="24"/>
              </w:rPr>
              <w:t>redbe (</w:t>
            </w:r>
            <w:r>
              <w:rPr>
                <w:szCs w:val="24"/>
              </w:rPr>
              <w:t>EU) br. 528/2012 Europskoga parlamenta i V</w:t>
            </w:r>
            <w:r w:rsidRPr="00D62995">
              <w:rPr>
                <w:szCs w:val="24"/>
              </w:rPr>
              <w:t xml:space="preserve">ijeća u vezi sa stavljanjem na raspolaganje na tržištu i uporabi </w:t>
            </w:r>
            <w:proofErr w:type="spellStart"/>
            <w:r w:rsidRPr="00D62995">
              <w:rPr>
                <w:szCs w:val="24"/>
              </w:rPr>
              <w:t>biocidnih</w:t>
            </w:r>
            <w:proofErr w:type="spellEnd"/>
            <w:r w:rsidRPr="00D62995">
              <w:rPr>
                <w:szCs w:val="24"/>
              </w:rPr>
              <w:t xml:space="preserve"> proizvoda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5A608F" w:rsidP="0077506C">
            <w:pPr>
              <w:shd w:val="clear" w:color="auto" w:fill="FFFFFF" w:themeFill="background1"/>
              <w:rPr>
                <w:szCs w:val="24"/>
              </w:rPr>
            </w:pPr>
            <w:r>
              <w:rPr>
                <w:szCs w:val="24"/>
              </w:rPr>
              <w:t>rujan</w:t>
            </w:r>
            <w:r w:rsidR="002F652D">
              <w:rPr>
                <w:szCs w:val="24"/>
              </w:rPr>
              <w:t xml:space="preserve"> 2018.</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Pr="0077506C" w:rsidRDefault="00680F0A" w:rsidP="0077506C">
            <w:pPr>
              <w:shd w:val="clear" w:color="auto" w:fill="FFFFFF" w:themeFill="background1"/>
              <w:rPr>
                <w:szCs w:val="24"/>
              </w:rPr>
            </w:pPr>
            <w:r>
              <w:rPr>
                <w:szCs w:val="24"/>
              </w:rPr>
              <w:t>UPRAVA ZA SANITARNU INSPEKCIJU</w:t>
            </w:r>
            <w:bookmarkStart w:id="0" w:name="_GoBack"/>
            <w:bookmarkEnd w:id="0"/>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DA2E2C">
              <w:rPr>
                <w:szCs w:val="24"/>
              </w:rPr>
              <w:t xml:space="preserve"> </w:t>
            </w:r>
            <w:r w:rsidR="002763F4">
              <w:rPr>
                <w:szCs w:val="24"/>
              </w:rPr>
              <w:t>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2763F4">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052D56">
            <w:pPr>
              <w:shd w:val="clear" w:color="auto" w:fill="FFFFFF" w:themeFill="background1"/>
              <w:rPr>
                <w:szCs w:val="24"/>
              </w:rPr>
            </w:pPr>
            <w:r w:rsidRPr="0077506C">
              <w:rPr>
                <w:szCs w:val="24"/>
              </w:rPr>
              <w:t>Opis mjere:</w:t>
            </w:r>
            <w:r w:rsidR="00DA2E2C">
              <w:rPr>
                <w:szCs w:val="24"/>
              </w:rPr>
              <w:t xml:space="preserve"> </w:t>
            </w:r>
            <w:r w:rsidR="002763F4">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DA2E2C">
              <w:rPr>
                <w:szCs w:val="24"/>
              </w:rPr>
              <w:t xml:space="preserve"> Da</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Naziv pravne stečevine EU:</w:t>
            </w:r>
          </w:p>
          <w:p w:rsidR="00DA2E2C" w:rsidRPr="0077506C" w:rsidRDefault="00D62995" w:rsidP="002763F4">
            <w:pPr>
              <w:shd w:val="clear" w:color="auto" w:fill="FFFFFF" w:themeFill="background1"/>
              <w:jc w:val="both"/>
              <w:rPr>
                <w:szCs w:val="24"/>
              </w:rPr>
            </w:pPr>
            <w:r>
              <w:rPr>
                <w:szCs w:val="24"/>
              </w:rPr>
              <w:t>Uredba</w:t>
            </w:r>
            <w:r w:rsidRPr="00D62995">
              <w:rPr>
                <w:szCs w:val="24"/>
              </w:rPr>
              <w:t xml:space="preserve"> (EU) br. 528/2012 Europskoga parlamenta i Vijeća u vezi sa stavljanjem na raspolaganje na tržištu i uporabi </w:t>
            </w:r>
            <w:proofErr w:type="spellStart"/>
            <w:r w:rsidRPr="00D62995">
              <w:rPr>
                <w:szCs w:val="24"/>
              </w:rPr>
              <w:t>biocidnih</w:t>
            </w:r>
            <w:proofErr w:type="spellEnd"/>
            <w:r w:rsidRPr="00D62995">
              <w:rPr>
                <w:szCs w:val="24"/>
              </w:rPr>
              <w:t xml:space="preserve"> proizvoda (SL L 167, 27. 6. 2012.)</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F96AE2" w:rsidRPr="0077506C" w:rsidRDefault="005B7056" w:rsidP="002763F4">
            <w:pPr>
              <w:shd w:val="clear" w:color="auto" w:fill="FFFFFF" w:themeFill="background1"/>
              <w:jc w:val="both"/>
              <w:rPr>
                <w:szCs w:val="24"/>
              </w:rPr>
            </w:pPr>
            <w:r>
              <w:rPr>
                <w:szCs w:val="24"/>
              </w:rPr>
              <w:t>Zahtjeva se potpuno usklađivanje nacionalnog zakon</w:t>
            </w:r>
            <w:r w:rsidR="002763F4">
              <w:rPr>
                <w:szCs w:val="24"/>
              </w:rPr>
              <w:t>odavstva s pravnom stečevinom Europske unije</w:t>
            </w:r>
            <w:r w:rsidR="00F8095F">
              <w:rPr>
                <w:szCs w:val="24"/>
              </w:rPr>
              <w:t xml:space="preserve"> te se</w:t>
            </w:r>
            <w:r w:rsidR="00B90E73">
              <w:rPr>
                <w:szCs w:val="24"/>
              </w:rPr>
              <w:t xml:space="preserve"> predlaž</w:t>
            </w:r>
            <w:r w:rsidR="00625B0C">
              <w:rPr>
                <w:szCs w:val="24"/>
              </w:rPr>
              <w:t xml:space="preserve">u dodatne prekršajne odredbe za povredu pojedinih odredbi Uredbe. Također se predviđa </w:t>
            </w:r>
            <w:r w:rsidR="001F13A3">
              <w:rPr>
                <w:szCs w:val="24"/>
              </w:rPr>
              <w:t>imenovanje</w:t>
            </w:r>
            <w:r w:rsidR="00900AFB">
              <w:rPr>
                <w:szCs w:val="24"/>
              </w:rPr>
              <w:t xml:space="preserve"> </w:t>
            </w:r>
            <w:r w:rsidR="001F13A3">
              <w:rPr>
                <w:szCs w:val="24"/>
              </w:rPr>
              <w:t xml:space="preserve">stručne institucije za </w:t>
            </w:r>
            <w:r w:rsidR="00900AFB">
              <w:rPr>
                <w:szCs w:val="24"/>
              </w:rPr>
              <w:t>potrebe prikupljanja podataka o trovanjima sukladno članku 65. Uredbe br. 528/2012</w:t>
            </w:r>
            <w:r w:rsidR="002763F4">
              <w:rPr>
                <w:szCs w:val="24"/>
              </w:rPr>
              <w:t>.</w:t>
            </w:r>
            <w:r w:rsidR="00625B0C">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F96AE2" w:rsidRPr="0077506C" w:rsidRDefault="00B90E73" w:rsidP="002763F4">
            <w:pPr>
              <w:shd w:val="clear" w:color="auto" w:fill="FFFFFF" w:themeFill="background1"/>
              <w:jc w:val="both"/>
              <w:rPr>
                <w:szCs w:val="24"/>
              </w:rPr>
            </w:pPr>
            <w:r>
              <w:rPr>
                <w:szCs w:val="24"/>
              </w:rPr>
              <w:t xml:space="preserve">Potrebno je </w:t>
            </w:r>
            <w:r w:rsidR="00900AFB">
              <w:rPr>
                <w:szCs w:val="24"/>
              </w:rPr>
              <w:t xml:space="preserve">uskladiti i urediti postupak odobravanja </w:t>
            </w:r>
            <w:proofErr w:type="spellStart"/>
            <w:r w:rsidR="00900AFB">
              <w:rPr>
                <w:szCs w:val="24"/>
              </w:rPr>
              <w:t>biocidnih</w:t>
            </w:r>
            <w:proofErr w:type="spellEnd"/>
            <w:r w:rsidR="00900AFB">
              <w:rPr>
                <w:szCs w:val="24"/>
              </w:rPr>
              <w:t xml:space="preserve"> proizvoda s člankom 89. Uredbe (EU) br. 528/2012, definirati ulogu Centra za kontrolu otrovanja u smislu provedbe članka 65. Uredbe te propisati dodatne prekršajne odredbe za</w:t>
            </w:r>
            <w:r w:rsidR="002763F4">
              <w:rPr>
                <w:szCs w:val="24"/>
              </w:rPr>
              <w:t xml:space="preserve"> koje se pokazalo da nedostaju, zbog čega je do sada bilo onemogućeno</w:t>
            </w:r>
            <w:r w:rsidR="00900AFB">
              <w:rPr>
                <w:szCs w:val="24"/>
              </w:rPr>
              <w:t xml:space="preserve"> po</w:t>
            </w:r>
            <w:r w:rsidR="00E32112">
              <w:rPr>
                <w:szCs w:val="24"/>
              </w:rPr>
              <w:t>stupanje inspekcije.</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F96AE2" w:rsidRPr="0077506C" w:rsidRDefault="00900AFB" w:rsidP="002763F4">
            <w:pPr>
              <w:shd w:val="clear" w:color="auto" w:fill="FFFFFF" w:themeFill="background1"/>
              <w:jc w:val="both"/>
              <w:rPr>
                <w:szCs w:val="24"/>
              </w:rPr>
            </w:pPr>
            <w:r>
              <w:rPr>
                <w:szCs w:val="24"/>
              </w:rPr>
              <w:t xml:space="preserve">Postupak registracije </w:t>
            </w:r>
            <w:proofErr w:type="spellStart"/>
            <w:r>
              <w:rPr>
                <w:szCs w:val="24"/>
              </w:rPr>
              <w:t>biocidnih</w:t>
            </w:r>
            <w:proofErr w:type="spellEnd"/>
            <w:r>
              <w:rPr>
                <w:szCs w:val="24"/>
              </w:rPr>
              <w:t xml:space="preserve"> proizvoda sukladno postupku iz članka 89. Uredbe uređen je Zakonom o </w:t>
            </w:r>
            <w:proofErr w:type="spellStart"/>
            <w:r>
              <w:rPr>
                <w:szCs w:val="24"/>
              </w:rPr>
              <w:t>biocidnim</w:t>
            </w:r>
            <w:proofErr w:type="spellEnd"/>
            <w:r>
              <w:rPr>
                <w:szCs w:val="24"/>
              </w:rPr>
              <w:t xml:space="preserve"> pripravcima (</w:t>
            </w:r>
            <w:r w:rsidR="002763F4">
              <w:rPr>
                <w:szCs w:val="24"/>
              </w:rPr>
              <w:t>„</w:t>
            </w:r>
            <w:r>
              <w:rPr>
                <w:szCs w:val="24"/>
              </w:rPr>
              <w:t>N</w:t>
            </w:r>
            <w:r w:rsidR="002763F4">
              <w:rPr>
                <w:szCs w:val="24"/>
              </w:rPr>
              <w:t>arodne novine“, broj</w:t>
            </w:r>
            <w:r>
              <w:rPr>
                <w:szCs w:val="24"/>
              </w:rPr>
              <w:t xml:space="preserve"> 63/07)</w:t>
            </w:r>
            <w:r w:rsidR="002C55B1">
              <w:rPr>
                <w:szCs w:val="24"/>
              </w:rPr>
              <w:t xml:space="preserve">. Postupak je potrebno </w:t>
            </w:r>
            <w:r>
              <w:rPr>
                <w:szCs w:val="24"/>
              </w:rPr>
              <w:t>uskladiti s člankom 69. i 89. Uredbe (EU) br. 528/2012</w:t>
            </w:r>
            <w:r w:rsidR="002763F4">
              <w:rPr>
                <w:szCs w:val="24"/>
              </w:rPr>
              <w:t xml:space="preserve"> i</w:t>
            </w:r>
            <w:r w:rsidR="002C55B1">
              <w:rPr>
                <w:szCs w:val="24"/>
              </w:rPr>
              <w:t xml:space="preserve"> s novim izrazima </w:t>
            </w:r>
            <w:r w:rsidR="002763F4">
              <w:rPr>
                <w:szCs w:val="24"/>
              </w:rPr>
              <w:t xml:space="preserve">sukladno </w:t>
            </w:r>
            <w:r w:rsidR="002C55B1">
              <w:rPr>
                <w:szCs w:val="24"/>
              </w:rPr>
              <w:t>Uredb</w:t>
            </w:r>
            <w:r w:rsidR="002763F4">
              <w:rPr>
                <w:szCs w:val="24"/>
              </w:rPr>
              <w:t>i</w:t>
            </w:r>
            <w:r w:rsidR="002C55B1">
              <w:rPr>
                <w:szCs w:val="24"/>
              </w:rPr>
              <w:t xml:space="preserve"> te će se Zakon o </w:t>
            </w:r>
            <w:proofErr w:type="spellStart"/>
            <w:r w:rsidR="002C55B1">
              <w:rPr>
                <w:szCs w:val="24"/>
              </w:rPr>
              <w:t>biocidnim</w:t>
            </w:r>
            <w:proofErr w:type="spellEnd"/>
            <w:r w:rsidR="002C55B1">
              <w:rPr>
                <w:szCs w:val="24"/>
              </w:rPr>
              <w:t xml:space="preserve"> pripravcima staviti </w:t>
            </w:r>
            <w:r w:rsidR="002763F4">
              <w:rPr>
                <w:szCs w:val="24"/>
              </w:rPr>
              <w:t>iz</w:t>
            </w:r>
            <w:r w:rsidR="002C55B1">
              <w:rPr>
                <w:szCs w:val="24"/>
              </w:rPr>
              <w:t xml:space="preserve">van snage, a postupak propisati Zakonom o izmjenama </w:t>
            </w:r>
            <w:r w:rsidR="00175C52">
              <w:rPr>
                <w:szCs w:val="24"/>
              </w:rPr>
              <w:t xml:space="preserve">i dopunama </w:t>
            </w:r>
            <w:r w:rsidR="002C55B1">
              <w:rPr>
                <w:szCs w:val="24"/>
              </w:rPr>
              <w:t xml:space="preserve">Zakona provedbi Uredbe (EU) br. 528/2012. </w:t>
            </w:r>
            <w:r>
              <w:rPr>
                <w:szCs w:val="24"/>
              </w:rPr>
              <w:t xml:space="preserve">Člankom 65. navedene Uredbe propisuje se dostava podataka </w:t>
            </w:r>
            <w:r>
              <w:rPr>
                <w:szCs w:val="24"/>
              </w:rPr>
              <w:lastRenderedPageBreak/>
              <w:t xml:space="preserve">Europskoj komisiji o </w:t>
            </w:r>
            <w:r w:rsidR="002C55B1">
              <w:rPr>
                <w:szCs w:val="24"/>
              </w:rPr>
              <w:t xml:space="preserve">trovanjima te će se definirati stručna institucija koja te podatke prikuplja. </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2C55B1" w:rsidP="009E0B7D">
            <w:pPr>
              <w:shd w:val="clear" w:color="auto" w:fill="FFFFFF" w:themeFill="background1"/>
              <w:jc w:val="both"/>
              <w:rPr>
                <w:szCs w:val="24"/>
              </w:rPr>
            </w:pPr>
            <w:r>
              <w:rPr>
                <w:szCs w:val="24"/>
              </w:rPr>
              <w:t xml:space="preserve">Cilj je uskladiti postupak registracije </w:t>
            </w:r>
            <w:proofErr w:type="spellStart"/>
            <w:r>
              <w:rPr>
                <w:szCs w:val="24"/>
              </w:rPr>
              <w:t>biocidnih</w:t>
            </w:r>
            <w:proofErr w:type="spellEnd"/>
            <w:r>
              <w:rPr>
                <w:szCs w:val="24"/>
              </w:rPr>
              <w:t xml:space="preserve"> proizvoda s Uredbom (EU) br. 528/2012, osigurati redovito objavljivanje odobrenih proizvoda na </w:t>
            </w:r>
            <w:r w:rsidR="009E0B7D">
              <w:rPr>
                <w:szCs w:val="24"/>
              </w:rPr>
              <w:t>mrežnim</w:t>
            </w:r>
            <w:r>
              <w:rPr>
                <w:szCs w:val="24"/>
              </w:rPr>
              <w:t xml:space="preserve"> stranicama Ministarstva zdravstva umjesto objavljivanja popisa u </w:t>
            </w:r>
            <w:r w:rsidR="009E0B7D">
              <w:rPr>
                <w:szCs w:val="24"/>
              </w:rPr>
              <w:t>„</w:t>
            </w:r>
            <w:r>
              <w:rPr>
                <w:szCs w:val="24"/>
              </w:rPr>
              <w:t>Narodnim novinama</w:t>
            </w:r>
            <w:r w:rsidR="009E0B7D">
              <w:rPr>
                <w:szCs w:val="24"/>
              </w:rPr>
              <w:t>“</w:t>
            </w:r>
            <w:r>
              <w:rPr>
                <w:szCs w:val="24"/>
              </w:rPr>
              <w:t>, osigurati prikupljanje podataka o trovanjima za potrebe izvješćivanja iz člank</w:t>
            </w:r>
            <w:r w:rsidR="00E32112">
              <w:rPr>
                <w:szCs w:val="24"/>
              </w:rPr>
              <w:t>a</w:t>
            </w:r>
            <w:r>
              <w:rPr>
                <w:szCs w:val="24"/>
              </w:rPr>
              <w:t xml:space="preserve"> 65. Uredbe</w:t>
            </w:r>
            <w:r w:rsidR="00E32112">
              <w:rPr>
                <w:szCs w:val="24"/>
              </w:rPr>
              <w:t>, propisati dodatne prekršajne odredbe za koje se tijekom provedbe Zakona pokazalo da nedostaju</w:t>
            </w:r>
            <w:r w:rsidR="009E0B7D">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7D2EDD" w:rsidRPr="0077506C" w:rsidRDefault="00E32112" w:rsidP="009E0B7D">
            <w:pPr>
              <w:shd w:val="clear" w:color="auto" w:fill="FFFFFF" w:themeFill="background1"/>
              <w:jc w:val="both"/>
              <w:rPr>
                <w:szCs w:val="24"/>
              </w:rPr>
            </w:pPr>
            <w:r w:rsidRPr="00E32112">
              <w:rPr>
                <w:szCs w:val="24"/>
              </w:rPr>
              <w:t xml:space="preserve">Uskladit će se odredbe Zakona o provedbi Uredbe (EU) br. 528/2012 Europskoga parlamenta i Vijeća u vezi sa stavljanjem na raspolaganje na tržištu i uporabi </w:t>
            </w:r>
            <w:proofErr w:type="spellStart"/>
            <w:r w:rsidRPr="00E32112">
              <w:rPr>
                <w:szCs w:val="24"/>
              </w:rPr>
              <w:t>biocidnih</w:t>
            </w:r>
            <w:proofErr w:type="spellEnd"/>
            <w:r w:rsidRPr="00E32112">
              <w:rPr>
                <w:szCs w:val="24"/>
              </w:rPr>
              <w:t xml:space="preserve"> proizvoda („Narodne novine”, broj 39/13 i 47/</w:t>
            </w:r>
            <w:r>
              <w:rPr>
                <w:szCs w:val="24"/>
              </w:rPr>
              <w:t xml:space="preserve">14) s </w:t>
            </w:r>
            <w:r w:rsidR="009E0B7D">
              <w:rPr>
                <w:szCs w:val="24"/>
              </w:rPr>
              <w:t>Uredbom te će se</w:t>
            </w:r>
            <w:r w:rsidR="000313FB">
              <w:rPr>
                <w:szCs w:val="24"/>
              </w:rPr>
              <w:t xml:space="preserve"> jasnije urediti područje stavljanja </w:t>
            </w:r>
            <w:proofErr w:type="spellStart"/>
            <w:r w:rsidR="000313FB">
              <w:rPr>
                <w:szCs w:val="24"/>
              </w:rPr>
              <w:t>biocidnih</w:t>
            </w:r>
            <w:proofErr w:type="spellEnd"/>
            <w:r w:rsidR="000313FB">
              <w:rPr>
                <w:szCs w:val="24"/>
              </w:rPr>
              <w:t xml:space="preserve"> proizvoda na tržište</w:t>
            </w:r>
            <w:r>
              <w:rPr>
                <w:szCs w:val="24"/>
              </w:rPr>
              <w:t>.</w:t>
            </w:r>
            <w:r w:rsidR="007D2EDD" w:rsidRPr="007D2EDD">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0026A6" w:rsidP="009E0B7D">
            <w:pPr>
              <w:shd w:val="clear" w:color="auto" w:fill="FFFFFF" w:themeFill="background1"/>
              <w:jc w:val="both"/>
              <w:rPr>
                <w:szCs w:val="24"/>
              </w:rPr>
            </w:pPr>
            <w:r w:rsidRPr="000026A6">
              <w:rPr>
                <w:szCs w:val="24"/>
              </w:rPr>
              <w:t>Željeni ishod postići će se stupanjem na snagu Zakon</w:t>
            </w:r>
            <w:r w:rsidR="00E32112">
              <w:rPr>
                <w:szCs w:val="24"/>
              </w:rPr>
              <w:t>a</w:t>
            </w:r>
            <w:r w:rsidRPr="000026A6">
              <w:rPr>
                <w:szCs w:val="24"/>
              </w:rPr>
              <w:t xml:space="preserve"> o izmjenama</w:t>
            </w:r>
            <w:r w:rsidR="00175C52">
              <w:rPr>
                <w:szCs w:val="24"/>
              </w:rPr>
              <w:t xml:space="preserve"> i dopunama</w:t>
            </w:r>
            <w:r w:rsidRPr="000026A6">
              <w:rPr>
                <w:szCs w:val="24"/>
              </w:rPr>
              <w:t xml:space="preserve"> </w:t>
            </w:r>
            <w:r w:rsidR="00E32112">
              <w:rPr>
                <w:szCs w:val="24"/>
              </w:rPr>
              <w:t>Zakona o provedbi Uredbe (EU</w:t>
            </w:r>
            <w:r w:rsidR="00E32112" w:rsidRPr="00E32112">
              <w:rPr>
                <w:szCs w:val="24"/>
              </w:rPr>
              <w:t xml:space="preserve">) br. 528/2012 </w:t>
            </w:r>
            <w:r w:rsidR="00E32112">
              <w:rPr>
                <w:szCs w:val="24"/>
              </w:rPr>
              <w:t>Europskoga parlamenta i V</w:t>
            </w:r>
            <w:r w:rsidR="00E32112" w:rsidRPr="00E32112">
              <w:rPr>
                <w:szCs w:val="24"/>
              </w:rPr>
              <w:t xml:space="preserve">ijeća u vezi sa stavljanjem na raspolaganje na tržištu i uporabi </w:t>
            </w:r>
            <w:proofErr w:type="spellStart"/>
            <w:r w:rsidR="00E32112" w:rsidRPr="00E32112">
              <w:rPr>
                <w:szCs w:val="24"/>
              </w:rPr>
              <w:t>biocidnih</w:t>
            </w:r>
            <w:proofErr w:type="spellEnd"/>
            <w:r w:rsidR="00E32112" w:rsidRPr="00E32112">
              <w:rPr>
                <w:szCs w:val="24"/>
              </w:rPr>
              <w:t xml:space="preserve"> proizvoda</w:t>
            </w:r>
            <w:r w:rsidR="009E0B7D">
              <w:rPr>
                <w:szCs w:val="24"/>
              </w:rPr>
              <w:t>.</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9E0B7D" w:rsidRPr="0077506C" w:rsidRDefault="009E0B7D" w:rsidP="0077506C">
            <w:pPr>
              <w:shd w:val="clear" w:color="auto" w:fill="FFFFFF" w:themeFill="background1"/>
              <w:rPr>
                <w:szCs w:val="24"/>
              </w:rPr>
            </w:pPr>
          </w:p>
          <w:p w:rsidR="00F96AE2" w:rsidRPr="0077506C" w:rsidRDefault="009E0B7D" w:rsidP="009E0B7D">
            <w:pPr>
              <w:shd w:val="clear" w:color="auto" w:fill="FFFFFF" w:themeFill="background1"/>
              <w:jc w:val="both"/>
              <w:rPr>
                <w:szCs w:val="24"/>
              </w:rPr>
            </w:pPr>
            <w:r w:rsidRPr="009E0B7D">
              <w:rPr>
                <w:szCs w:val="24"/>
              </w:rPr>
              <w:t xml:space="preserve">Zakon o izmjenama </w:t>
            </w:r>
            <w:r w:rsidR="00175C52">
              <w:rPr>
                <w:szCs w:val="24"/>
              </w:rPr>
              <w:t xml:space="preserve">i dopunama </w:t>
            </w:r>
            <w:r w:rsidRPr="009E0B7D">
              <w:rPr>
                <w:szCs w:val="24"/>
              </w:rPr>
              <w:t xml:space="preserve">Zakona o provedbi Uredbe (EU) br. 528/2012 Europskoga parlamenta i Vijeća u vezi sa stavljanjem na raspolaganje na tržištu i uporabi </w:t>
            </w:r>
            <w:proofErr w:type="spellStart"/>
            <w:r w:rsidRPr="009E0B7D">
              <w:rPr>
                <w:szCs w:val="24"/>
              </w:rPr>
              <w:t>biocidnih</w:t>
            </w:r>
            <w:proofErr w:type="spellEnd"/>
            <w:r w:rsidRPr="009E0B7D">
              <w:rPr>
                <w:szCs w:val="24"/>
              </w:rPr>
              <w:t xml:space="preserve"> proizvoda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9E0B7D" w:rsidRDefault="00F96AE2" w:rsidP="0077506C">
            <w:pPr>
              <w:shd w:val="clear" w:color="auto" w:fill="FFFFFF" w:themeFill="background1"/>
              <w:rPr>
                <w:szCs w:val="24"/>
              </w:rPr>
            </w:pPr>
            <w:r w:rsidRPr="0077506C">
              <w:rPr>
                <w:szCs w:val="24"/>
              </w:rPr>
              <w:t>Obrazloženje:</w:t>
            </w:r>
            <w:r w:rsidR="00FD490F">
              <w:rPr>
                <w:szCs w:val="24"/>
              </w:rPr>
              <w:t xml:space="preserve"> </w:t>
            </w:r>
          </w:p>
          <w:p w:rsidR="00F96AE2" w:rsidRPr="0077506C" w:rsidRDefault="009E0B7D" w:rsidP="000D7973">
            <w:pPr>
              <w:shd w:val="clear" w:color="auto" w:fill="FFFFFF" w:themeFill="background1"/>
              <w:jc w:val="both"/>
              <w:rPr>
                <w:szCs w:val="24"/>
              </w:rPr>
            </w:pPr>
            <w:r>
              <w:rPr>
                <w:szCs w:val="24"/>
              </w:rPr>
              <w:t>Navedenim Zakonom uskladit će se</w:t>
            </w:r>
            <w:r w:rsidRPr="009E0B7D">
              <w:rPr>
                <w:szCs w:val="24"/>
              </w:rPr>
              <w:t xml:space="preserve"> i urediti postupak odobravanja </w:t>
            </w:r>
            <w:proofErr w:type="spellStart"/>
            <w:r w:rsidRPr="009E0B7D">
              <w:rPr>
                <w:szCs w:val="24"/>
              </w:rPr>
              <w:t>biocidnih</w:t>
            </w:r>
            <w:proofErr w:type="spellEnd"/>
            <w:r w:rsidRPr="009E0B7D">
              <w:rPr>
                <w:szCs w:val="24"/>
              </w:rPr>
              <w:t xml:space="preserve"> proizvoda s člankom 89. Ured</w:t>
            </w:r>
            <w:r>
              <w:rPr>
                <w:szCs w:val="24"/>
              </w:rPr>
              <w:t>be (EU) br. 528/2012, definirat će se uloga</w:t>
            </w:r>
            <w:r w:rsidRPr="009E0B7D">
              <w:rPr>
                <w:szCs w:val="24"/>
              </w:rPr>
              <w:t xml:space="preserve"> Centra za kontrolu otrovanja u smislu provedbe članka 65. Uredbe te propisati dodatne prekršajne odredbe za koje se pokazalo da nedostaju, zbog čega je do sada bilo one</w:t>
            </w:r>
            <w:r>
              <w:rPr>
                <w:szCs w:val="24"/>
              </w:rPr>
              <w:t xml:space="preserve">mogućeno postupanje inspekcije. Također, </w:t>
            </w:r>
            <w:r w:rsidR="000D7973">
              <w:rPr>
                <w:szCs w:val="24"/>
              </w:rPr>
              <w:t xml:space="preserve">Zakonom će se staviti </w:t>
            </w:r>
            <w:r>
              <w:rPr>
                <w:szCs w:val="24"/>
              </w:rPr>
              <w:t xml:space="preserve">izvan snage </w:t>
            </w:r>
            <w:r w:rsidRPr="009E0B7D">
              <w:rPr>
                <w:szCs w:val="24"/>
              </w:rPr>
              <w:t xml:space="preserve">Zakon o </w:t>
            </w:r>
            <w:proofErr w:type="spellStart"/>
            <w:r w:rsidRPr="009E0B7D">
              <w:rPr>
                <w:szCs w:val="24"/>
              </w:rPr>
              <w:t>biocidnim</w:t>
            </w:r>
            <w:proofErr w:type="spellEnd"/>
            <w:r w:rsidRPr="009E0B7D">
              <w:rPr>
                <w:szCs w:val="24"/>
              </w:rPr>
              <w:t xml:space="preserve"> pripravcima, a postupak </w:t>
            </w:r>
            <w:r>
              <w:rPr>
                <w:szCs w:val="24"/>
              </w:rPr>
              <w:t xml:space="preserve">će se </w:t>
            </w:r>
            <w:r w:rsidRPr="009E0B7D">
              <w:rPr>
                <w:szCs w:val="24"/>
              </w:rPr>
              <w:t xml:space="preserve">propisati </w:t>
            </w:r>
            <w:r>
              <w:rPr>
                <w:szCs w:val="24"/>
              </w:rPr>
              <w:t xml:space="preserve">Zakonom. </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0D7973" w:rsidRDefault="000D7973" w:rsidP="0077506C">
            <w:pPr>
              <w:shd w:val="clear" w:color="auto" w:fill="FFFFFF" w:themeFill="background1"/>
              <w:rPr>
                <w:szCs w:val="24"/>
              </w:rPr>
            </w:pPr>
          </w:p>
          <w:p w:rsidR="00F96AE2" w:rsidRPr="0077506C" w:rsidRDefault="000D7973" w:rsidP="000D7973">
            <w:pPr>
              <w:shd w:val="clear" w:color="auto" w:fill="FFFFFF" w:themeFill="background1"/>
              <w:rPr>
                <w:szCs w:val="24"/>
              </w:rPr>
            </w:pPr>
            <w:r>
              <w:rPr>
                <w:szCs w:val="24"/>
              </w:rPr>
              <w:t xml:space="preserve">Nema mogućeg </w:t>
            </w:r>
            <w:proofErr w:type="spellStart"/>
            <w:r>
              <w:rPr>
                <w:szCs w:val="24"/>
              </w:rPr>
              <w:t>nenormativnog</w:t>
            </w:r>
            <w:proofErr w:type="spellEnd"/>
            <w:r>
              <w:rPr>
                <w:szCs w:val="24"/>
              </w:rPr>
              <w:t xml:space="preserve"> rješenja.</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0D7973" w:rsidRDefault="00F96AE2" w:rsidP="000D7973">
            <w:pPr>
              <w:shd w:val="clear" w:color="auto" w:fill="FFFFFF" w:themeFill="background1"/>
              <w:rPr>
                <w:szCs w:val="24"/>
              </w:rPr>
            </w:pPr>
            <w:r w:rsidRPr="0077506C">
              <w:rPr>
                <w:szCs w:val="24"/>
              </w:rPr>
              <w:t>Obrazloženje:</w:t>
            </w:r>
          </w:p>
          <w:p w:rsidR="00F96AE2" w:rsidRPr="0077506C" w:rsidRDefault="000D7973" w:rsidP="000D7973">
            <w:pPr>
              <w:shd w:val="clear" w:color="auto" w:fill="FFFFFF" w:themeFill="background1"/>
              <w:jc w:val="both"/>
              <w:rPr>
                <w:szCs w:val="24"/>
              </w:rPr>
            </w:pPr>
            <w:proofErr w:type="spellStart"/>
            <w:r w:rsidRPr="000D7973">
              <w:rPr>
                <w:szCs w:val="24"/>
              </w:rPr>
              <w:t>Nenormativnim</w:t>
            </w:r>
            <w:proofErr w:type="spellEnd"/>
            <w:r w:rsidRPr="000D7973">
              <w:rPr>
                <w:szCs w:val="24"/>
              </w:rPr>
              <w:t xml:space="preserve"> rješenjima se ne može postići namjeravani cilj, s obzirom da se radi o materiji koja se uređuje zakonom.</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B8014E" w:rsidRPr="000D7973" w:rsidRDefault="000D7973" w:rsidP="00B8014E">
            <w:pPr>
              <w:shd w:val="clear" w:color="auto" w:fill="FFFFFF" w:themeFill="background1"/>
              <w:rPr>
                <w:b/>
                <w:szCs w:val="24"/>
              </w:rPr>
            </w:pPr>
            <w:r w:rsidRPr="000D7973">
              <w:rPr>
                <w:b/>
                <w:szCs w:val="24"/>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w:t>
            </w:r>
          </w:p>
        </w:tc>
        <w:tc>
          <w:tcPr>
            <w:tcW w:w="5670" w:type="dxa"/>
            <w:gridSpan w:val="2"/>
            <w:shd w:val="clear" w:color="auto" w:fill="FFFFFF" w:themeFill="background1"/>
          </w:tcPr>
          <w:p w:rsidR="000026A6" w:rsidRPr="0077506C" w:rsidRDefault="000026A6" w:rsidP="000026A6">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992" w:type="dxa"/>
            <w:shd w:val="clear" w:color="auto" w:fill="FFFFFF" w:themeFill="background1"/>
          </w:tcPr>
          <w:p w:rsidR="000026A6" w:rsidRPr="000D7973" w:rsidRDefault="000D7973" w:rsidP="000026A6">
            <w:pPr>
              <w:rPr>
                <w:b/>
              </w:rPr>
            </w:pPr>
            <w:r w:rsidRPr="000D7973">
              <w:rPr>
                <w:b/>
              </w:rPr>
              <w:t>NE</w:t>
            </w:r>
          </w:p>
        </w:tc>
        <w:tc>
          <w:tcPr>
            <w:tcW w:w="992" w:type="dxa"/>
            <w:gridSpan w:val="2"/>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5.1.3.</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992" w:type="dxa"/>
            <w:shd w:val="clear" w:color="auto" w:fill="FFFFFF" w:themeFill="background1"/>
          </w:tcPr>
          <w:p w:rsidR="000026A6" w:rsidRPr="000D7973" w:rsidRDefault="000D7973" w:rsidP="000026A6">
            <w:pPr>
              <w:rPr>
                <w:b/>
              </w:rPr>
            </w:pPr>
            <w:r w:rsidRPr="000D7973">
              <w:rPr>
                <w:b/>
              </w:rPr>
              <w:t>NE</w:t>
            </w:r>
          </w:p>
        </w:tc>
        <w:tc>
          <w:tcPr>
            <w:tcW w:w="992" w:type="dxa"/>
            <w:gridSpan w:val="2"/>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5.1.4.</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992" w:type="dxa"/>
            <w:shd w:val="clear" w:color="auto" w:fill="FFFFFF" w:themeFill="background1"/>
          </w:tcPr>
          <w:p w:rsidR="000026A6" w:rsidRPr="000D7973" w:rsidRDefault="000D7973" w:rsidP="000026A6">
            <w:pPr>
              <w:rPr>
                <w:b/>
              </w:rPr>
            </w:pPr>
            <w:r w:rsidRPr="000D7973">
              <w:rPr>
                <w:b/>
              </w:rPr>
              <w:t>NE</w:t>
            </w:r>
          </w:p>
        </w:tc>
        <w:tc>
          <w:tcPr>
            <w:tcW w:w="992" w:type="dxa"/>
            <w:gridSpan w:val="2"/>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5.1.5.</w:t>
            </w:r>
          </w:p>
        </w:tc>
        <w:tc>
          <w:tcPr>
            <w:tcW w:w="5670" w:type="dxa"/>
            <w:gridSpan w:val="2"/>
            <w:shd w:val="clear" w:color="auto" w:fill="FFFFFF" w:themeFill="background1"/>
          </w:tcPr>
          <w:p w:rsidR="000026A6" w:rsidRPr="0077506C" w:rsidRDefault="000026A6" w:rsidP="000026A6">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992" w:type="dxa"/>
            <w:shd w:val="clear" w:color="auto" w:fill="FFFFFF" w:themeFill="background1"/>
          </w:tcPr>
          <w:p w:rsidR="000026A6" w:rsidRPr="000D7973" w:rsidRDefault="000D7973" w:rsidP="000026A6">
            <w:pPr>
              <w:rPr>
                <w:b/>
              </w:rPr>
            </w:pPr>
            <w:r w:rsidRPr="000D7973">
              <w:rPr>
                <w:b/>
              </w:rPr>
              <w:t>NE</w:t>
            </w:r>
          </w:p>
        </w:tc>
        <w:tc>
          <w:tcPr>
            <w:tcW w:w="992" w:type="dxa"/>
            <w:gridSpan w:val="2"/>
            <w:shd w:val="clear" w:color="auto" w:fill="FFFFFF" w:themeFill="background1"/>
          </w:tcPr>
          <w:p w:rsidR="000026A6" w:rsidRPr="000D7973" w:rsidRDefault="000D7973" w:rsidP="000026A6">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5.1.7.</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5.1.8.</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5.1.9.</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Drugi očekivani izravni učinak:</w:t>
            </w:r>
          </w:p>
          <w:p w:rsidR="00B8014E" w:rsidRPr="0077506C" w:rsidRDefault="00B8014E" w:rsidP="00B8014E">
            <w:pPr>
              <w:shd w:val="clear" w:color="auto" w:fill="FFFFFF" w:themeFill="background1"/>
              <w:rPr>
                <w:szCs w:val="24"/>
              </w:rPr>
            </w:pP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992" w:type="dxa"/>
            <w:shd w:val="clear" w:color="auto" w:fill="FFFFFF" w:themeFill="background1"/>
          </w:tcPr>
          <w:p w:rsidR="00B8014E" w:rsidRPr="000D7973" w:rsidRDefault="000D7973" w:rsidP="00B8014E">
            <w:pPr>
              <w:rPr>
                <w:b/>
              </w:rPr>
            </w:pPr>
            <w:r w:rsidRPr="000D7973">
              <w:rPr>
                <w:b/>
              </w:rPr>
              <w:t>NE</w:t>
            </w:r>
          </w:p>
        </w:tc>
        <w:tc>
          <w:tcPr>
            <w:tcW w:w="992" w:type="dxa"/>
            <w:gridSpan w:val="2"/>
            <w:shd w:val="clear" w:color="auto" w:fill="FFFFFF" w:themeFill="background1"/>
          </w:tcPr>
          <w:p w:rsidR="00B8014E" w:rsidRPr="000D7973" w:rsidRDefault="000D7973" w:rsidP="00B8014E">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Pr="000D7973" w:rsidRDefault="00F96AE2" w:rsidP="0077506C">
            <w:pPr>
              <w:shd w:val="clear" w:color="auto" w:fill="FFFFFF" w:themeFill="background1"/>
              <w:rPr>
                <w:szCs w:val="24"/>
              </w:rPr>
            </w:pPr>
            <w:r w:rsidRPr="000D7973">
              <w:rPr>
                <w:szCs w:val="24"/>
              </w:rPr>
              <w:t>Obrazloženje za analizu utvrđivanja izravnih učinaka od 5.1.1. do 5.1.14.</w:t>
            </w:r>
          </w:p>
          <w:p w:rsidR="00F96AE2" w:rsidRPr="000D7973"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gospodarskih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0D7973" w:rsidRDefault="00F96AE2" w:rsidP="0077506C">
            <w:pPr>
              <w:shd w:val="clear" w:color="auto" w:fill="FFFFFF" w:themeFill="background1"/>
              <w:rPr>
                <w:szCs w:val="24"/>
              </w:rPr>
            </w:pPr>
            <w:r w:rsidRPr="000D7973">
              <w:rPr>
                <w:szCs w:val="24"/>
              </w:rPr>
              <w:t>Utvrdite veličinu adresata:</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026A6" w:rsidRPr="000D7973" w:rsidRDefault="000D7973" w:rsidP="000026A6">
            <w:pPr>
              <w:shd w:val="clear" w:color="auto" w:fill="FFFFFF" w:themeFill="background1"/>
              <w:rPr>
                <w:b/>
                <w:szCs w:val="24"/>
              </w:rPr>
            </w:pPr>
            <w:r w:rsidRPr="000D7973">
              <w:rPr>
                <w:b/>
                <w:szCs w:val="24"/>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lastRenderedPageBreak/>
              <w:t>5.1.25.</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0026A6" w:rsidRPr="0077506C" w:rsidTr="0077506C">
        <w:trPr>
          <w:trHeight w:val="284"/>
        </w:trPr>
        <w:tc>
          <w:tcPr>
            <w:tcW w:w="993" w:type="dxa"/>
            <w:shd w:val="clear" w:color="auto" w:fill="FFFFFF" w:themeFill="background1"/>
          </w:tcPr>
          <w:p w:rsidR="000026A6" w:rsidRPr="0077506C" w:rsidRDefault="000026A6" w:rsidP="000026A6">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0026A6" w:rsidRPr="0077506C" w:rsidRDefault="000026A6" w:rsidP="000026A6">
            <w:pPr>
              <w:shd w:val="clear" w:color="auto" w:fill="FFFFFF" w:themeFill="background1"/>
              <w:rPr>
                <w:szCs w:val="24"/>
              </w:rPr>
            </w:pPr>
            <w:r w:rsidRPr="0077506C">
              <w:rPr>
                <w:szCs w:val="24"/>
              </w:rPr>
              <w:t>Drugi utvrđeni adresati:</w:t>
            </w:r>
          </w:p>
          <w:p w:rsidR="000026A6" w:rsidRPr="0077506C" w:rsidRDefault="000026A6" w:rsidP="000026A6">
            <w:pPr>
              <w:shd w:val="clear" w:color="auto" w:fill="FFFFFF" w:themeFill="background1"/>
              <w:rPr>
                <w:szCs w:val="24"/>
              </w:rPr>
            </w:pPr>
          </w:p>
        </w:tc>
        <w:tc>
          <w:tcPr>
            <w:tcW w:w="1276" w:type="dxa"/>
            <w:gridSpan w:val="2"/>
            <w:shd w:val="clear" w:color="auto" w:fill="FFFFFF" w:themeFill="background1"/>
          </w:tcPr>
          <w:p w:rsidR="000026A6" w:rsidRPr="000D7973" w:rsidRDefault="000D7973" w:rsidP="000026A6">
            <w:pPr>
              <w:rPr>
                <w:b/>
              </w:rPr>
            </w:pPr>
            <w:r w:rsidRPr="000D7973">
              <w:rPr>
                <w:b/>
              </w:rPr>
              <w:t>NE</w:t>
            </w:r>
          </w:p>
        </w:tc>
        <w:tc>
          <w:tcPr>
            <w:tcW w:w="1028" w:type="dxa"/>
            <w:gridSpan w:val="2"/>
            <w:shd w:val="clear" w:color="auto" w:fill="FFFFFF" w:themeFill="background1"/>
          </w:tcPr>
          <w:p w:rsidR="000026A6" w:rsidRPr="000D7973" w:rsidRDefault="000D7973" w:rsidP="000026A6">
            <w:pPr>
              <w:rPr>
                <w:b/>
              </w:rPr>
            </w:pPr>
            <w:r w:rsidRPr="000D7973">
              <w:rPr>
                <w:b/>
              </w:rPr>
              <w:t>NE</w:t>
            </w:r>
          </w:p>
        </w:tc>
        <w:tc>
          <w:tcPr>
            <w:tcW w:w="956" w:type="dxa"/>
            <w:shd w:val="clear" w:color="auto" w:fill="FFFFFF" w:themeFill="background1"/>
          </w:tcPr>
          <w:p w:rsidR="000026A6" w:rsidRPr="000D7973" w:rsidRDefault="000D7973" w:rsidP="000026A6">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gospodarskih učinaka.</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3515D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3515D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c>
                <w:tcPr>
                  <w:tcW w:w="15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r>
            <w:tr w:rsidR="0044761D" w:rsidRPr="0077506C" w:rsidTr="003515D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c>
                <w:tcPr>
                  <w:tcW w:w="15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r w:rsidR="0044761D" w:rsidRPr="0077506C" w:rsidTr="003515D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4F0390">
                    <w:t>NE</w:t>
                  </w:r>
                </w:p>
              </w:tc>
              <w:tc>
                <w:tcPr>
                  <w:tcW w:w="15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B8014E" w:rsidRPr="00E465E3" w:rsidRDefault="000D7973" w:rsidP="00B8014E">
            <w:pPr>
              <w:rPr>
                <w:b/>
              </w:rPr>
            </w:pPr>
            <w:r w:rsidRPr="00E465E3">
              <w:rPr>
                <w:b/>
              </w:rPr>
              <w:t>NE</w:t>
            </w:r>
          </w:p>
        </w:tc>
        <w:tc>
          <w:tcPr>
            <w:tcW w:w="992" w:type="dxa"/>
            <w:shd w:val="clear" w:color="auto" w:fill="FFFFFF" w:themeFill="background1"/>
          </w:tcPr>
          <w:p w:rsidR="00B8014E" w:rsidRPr="00E465E3" w:rsidRDefault="000D7973" w:rsidP="00B8014E">
            <w:pPr>
              <w:rPr>
                <w:b/>
              </w:rPr>
            </w:pPr>
            <w:r w:rsidRPr="00E465E3">
              <w:rPr>
                <w:b/>
              </w:rPr>
              <w:t>NE</w:t>
            </w:r>
          </w:p>
        </w:tc>
        <w:tc>
          <w:tcPr>
            <w:tcW w:w="992" w:type="dxa"/>
            <w:gridSpan w:val="2"/>
            <w:shd w:val="clear" w:color="auto" w:fill="FFFFFF" w:themeFill="background1"/>
          </w:tcPr>
          <w:p w:rsidR="00B8014E" w:rsidRPr="00E465E3" w:rsidRDefault="000D7973" w:rsidP="00B8014E">
            <w:pPr>
              <w:rPr>
                <w:b/>
              </w:rPr>
            </w:pPr>
            <w:r w:rsidRPr="00E465E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5.2.2.</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B8014E" w:rsidRPr="00E465E3" w:rsidRDefault="000D7973" w:rsidP="00B8014E">
            <w:pPr>
              <w:rPr>
                <w:b/>
              </w:rPr>
            </w:pPr>
            <w:r w:rsidRPr="00E465E3">
              <w:rPr>
                <w:b/>
              </w:rPr>
              <w:t>NE</w:t>
            </w:r>
          </w:p>
        </w:tc>
        <w:tc>
          <w:tcPr>
            <w:tcW w:w="992" w:type="dxa"/>
            <w:shd w:val="clear" w:color="auto" w:fill="FFFFFF" w:themeFill="background1"/>
          </w:tcPr>
          <w:p w:rsidR="00B8014E" w:rsidRPr="00E465E3" w:rsidRDefault="000D7973" w:rsidP="00B8014E">
            <w:pPr>
              <w:rPr>
                <w:b/>
              </w:rPr>
            </w:pPr>
            <w:r w:rsidRPr="00E465E3">
              <w:rPr>
                <w:b/>
              </w:rPr>
              <w:t>NE</w:t>
            </w:r>
          </w:p>
        </w:tc>
        <w:tc>
          <w:tcPr>
            <w:tcW w:w="992" w:type="dxa"/>
            <w:gridSpan w:val="2"/>
            <w:shd w:val="clear" w:color="auto" w:fill="FFFFFF" w:themeFill="background1"/>
          </w:tcPr>
          <w:p w:rsidR="00B8014E" w:rsidRPr="00E465E3" w:rsidRDefault="000D7973" w:rsidP="00B8014E">
            <w:pPr>
              <w:rPr>
                <w:b/>
              </w:rPr>
            </w:pPr>
            <w:r w:rsidRPr="00E465E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B8014E" w:rsidRPr="00E465E3" w:rsidRDefault="000D7973" w:rsidP="00B8014E">
            <w:pPr>
              <w:rPr>
                <w:b/>
              </w:rPr>
            </w:pPr>
            <w:r w:rsidRPr="00E465E3">
              <w:rPr>
                <w:b/>
              </w:rPr>
              <w:t>NE</w:t>
            </w:r>
          </w:p>
        </w:tc>
        <w:tc>
          <w:tcPr>
            <w:tcW w:w="992" w:type="dxa"/>
            <w:shd w:val="clear" w:color="auto" w:fill="FFFFFF" w:themeFill="background1"/>
          </w:tcPr>
          <w:p w:rsidR="00B8014E" w:rsidRPr="00E465E3" w:rsidRDefault="000D7973" w:rsidP="00B8014E">
            <w:pPr>
              <w:rPr>
                <w:b/>
              </w:rPr>
            </w:pPr>
            <w:r w:rsidRPr="00E465E3">
              <w:rPr>
                <w:b/>
              </w:rPr>
              <w:t>NE</w:t>
            </w:r>
          </w:p>
        </w:tc>
        <w:tc>
          <w:tcPr>
            <w:tcW w:w="992" w:type="dxa"/>
            <w:gridSpan w:val="2"/>
            <w:shd w:val="clear" w:color="auto" w:fill="FFFFFF" w:themeFill="background1"/>
          </w:tcPr>
          <w:p w:rsidR="00B8014E" w:rsidRPr="00E465E3" w:rsidRDefault="000D7973" w:rsidP="00B8014E">
            <w:pPr>
              <w:rPr>
                <w:b/>
              </w:rPr>
            </w:pPr>
            <w:r w:rsidRPr="00E465E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5.2.4.</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jc w:val="both"/>
              <w:rPr>
                <w:szCs w:val="24"/>
              </w:rPr>
            </w:pPr>
          </w:p>
        </w:tc>
        <w:tc>
          <w:tcPr>
            <w:tcW w:w="1276" w:type="dxa"/>
            <w:gridSpan w:val="2"/>
            <w:shd w:val="clear" w:color="auto" w:fill="FFFFFF" w:themeFill="background1"/>
          </w:tcPr>
          <w:p w:rsidR="00B8014E" w:rsidRPr="00E465E3" w:rsidRDefault="000D7973" w:rsidP="00B8014E">
            <w:pPr>
              <w:rPr>
                <w:b/>
              </w:rPr>
            </w:pPr>
            <w:r w:rsidRPr="00E465E3">
              <w:rPr>
                <w:b/>
              </w:rPr>
              <w:t>NE</w:t>
            </w:r>
          </w:p>
        </w:tc>
        <w:tc>
          <w:tcPr>
            <w:tcW w:w="992" w:type="dxa"/>
            <w:shd w:val="clear" w:color="auto" w:fill="FFFFFF" w:themeFill="background1"/>
          </w:tcPr>
          <w:p w:rsidR="00B8014E" w:rsidRPr="00E465E3" w:rsidRDefault="000D7973" w:rsidP="00B8014E">
            <w:pPr>
              <w:rPr>
                <w:b/>
              </w:rPr>
            </w:pPr>
            <w:r w:rsidRPr="00E465E3">
              <w:rPr>
                <w:b/>
              </w:rPr>
              <w:t>NE</w:t>
            </w:r>
          </w:p>
        </w:tc>
        <w:tc>
          <w:tcPr>
            <w:tcW w:w="992" w:type="dxa"/>
            <w:gridSpan w:val="2"/>
            <w:shd w:val="clear" w:color="auto" w:fill="FFFFFF" w:themeFill="background1"/>
          </w:tcPr>
          <w:p w:rsidR="00B8014E" w:rsidRPr="00E465E3" w:rsidRDefault="000D7973" w:rsidP="00B8014E">
            <w:pPr>
              <w:rPr>
                <w:b/>
              </w:rPr>
            </w:pPr>
            <w:r w:rsidRPr="00E465E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5.2.6.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992" w:type="dxa"/>
            <w:shd w:val="clear" w:color="auto" w:fill="FFFFFF" w:themeFill="background1"/>
          </w:tcPr>
          <w:p w:rsidR="0044761D" w:rsidRPr="000D7973" w:rsidRDefault="000D7973" w:rsidP="0044761D">
            <w:pPr>
              <w:rPr>
                <w:b/>
              </w:rPr>
            </w:pPr>
            <w:r w:rsidRPr="000D7973">
              <w:rPr>
                <w:b/>
              </w:rPr>
              <w:t>NE</w:t>
            </w:r>
          </w:p>
        </w:tc>
        <w:tc>
          <w:tcPr>
            <w:tcW w:w="992" w:type="dxa"/>
            <w:gridSpan w:val="2"/>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5.2.6. do 5.2.16.:</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tržišno natjecanje.</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0313FB" w:rsidRPr="0077506C" w:rsidTr="009B4E07">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313FB" w:rsidRPr="0077506C" w:rsidRDefault="000313FB" w:rsidP="000313F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313FB" w:rsidRPr="0077506C" w:rsidRDefault="000313FB" w:rsidP="000313F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c>
                <w:tcPr>
                  <w:tcW w:w="1507"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c>
                <w:tcPr>
                  <w:tcW w:w="1400"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r>
            <w:tr w:rsidR="000313FB" w:rsidRPr="0077506C" w:rsidTr="009B4E07">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313FB" w:rsidRPr="0077506C" w:rsidRDefault="000313FB" w:rsidP="000313F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313FB" w:rsidRPr="0077506C" w:rsidRDefault="000313FB" w:rsidP="000313FB">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c>
                <w:tcPr>
                  <w:tcW w:w="1507"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c>
                <w:tcPr>
                  <w:tcW w:w="1400" w:type="dxa"/>
                  <w:tcBorders>
                    <w:top w:val="nil"/>
                    <w:left w:val="nil"/>
                    <w:bottom w:val="single" w:sz="4" w:space="0" w:color="auto"/>
                    <w:right w:val="single" w:sz="4" w:space="0" w:color="auto"/>
                  </w:tcBorders>
                  <w:shd w:val="clear" w:color="auto" w:fill="FFFFFF" w:themeFill="background1"/>
                  <w:noWrap/>
                </w:tcPr>
                <w:p w:rsidR="000313FB" w:rsidRPr="000D7973" w:rsidRDefault="000D7973" w:rsidP="000313FB">
                  <w:pPr>
                    <w:rPr>
                      <w:b/>
                    </w:rPr>
                  </w:pPr>
                  <w:r w:rsidRPr="000D7973">
                    <w:rPr>
                      <w:b/>
                    </w:rPr>
                    <w:t>NE</w:t>
                  </w:r>
                </w:p>
              </w:tc>
            </w:tr>
            <w:tr w:rsidR="000313FB" w:rsidRPr="0077506C" w:rsidTr="009B4E07">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313FB" w:rsidRPr="0077506C" w:rsidRDefault="000313FB" w:rsidP="000313F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313FB" w:rsidRPr="0077506C" w:rsidRDefault="000313FB" w:rsidP="000313F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0313FB" w:rsidRDefault="000D7973" w:rsidP="000313FB">
                  <w:r w:rsidRPr="00CD7C33">
                    <w:t>NE</w:t>
                  </w:r>
                </w:p>
              </w:tc>
              <w:tc>
                <w:tcPr>
                  <w:tcW w:w="1507" w:type="dxa"/>
                  <w:tcBorders>
                    <w:top w:val="nil"/>
                    <w:left w:val="nil"/>
                    <w:bottom w:val="single" w:sz="4" w:space="0" w:color="auto"/>
                    <w:right w:val="single" w:sz="4" w:space="0" w:color="auto"/>
                  </w:tcBorders>
                  <w:shd w:val="clear" w:color="auto" w:fill="FFFFFF" w:themeFill="background1"/>
                  <w:noWrap/>
                </w:tcPr>
                <w:p w:rsidR="000313FB" w:rsidRPr="000D7973" w:rsidRDefault="000D7973" w:rsidP="000313FB">
                  <w:pPr>
                    <w:rPr>
                      <w:b/>
                    </w:rPr>
                  </w:pPr>
                  <w:r w:rsidRPr="000D7973">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0313FB" w:rsidRPr="000D7973" w:rsidRDefault="000D7973" w:rsidP="000313FB">
                  <w:pPr>
                    <w:rPr>
                      <w:b/>
                    </w:rPr>
                  </w:pPr>
                  <w:r w:rsidRPr="000D7973">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5.3.5.</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5.3.7.</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rPr>
                <w:szCs w:val="24"/>
              </w:rPr>
            </w:pP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5.3.1. do 5.3.7.:</w:t>
            </w:r>
          </w:p>
          <w:p w:rsidR="00F96AE2" w:rsidRPr="0077506C" w:rsidRDefault="000D7973" w:rsidP="000D7973">
            <w:pPr>
              <w:shd w:val="clear" w:color="auto" w:fill="FFFFFF" w:themeFill="background1"/>
              <w:jc w:val="both"/>
              <w:rPr>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5.3.9. do 5.3.19.:</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socijalnih učinaka.</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9B4E0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8A7B34">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5.4.3.</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5.4.4.</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5.4.5.</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5.4.6.</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5.4.7.</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5.4.8.</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5.4.9.</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B8014E" w:rsidRPr="0077506C" w:rsidRDefault="00B8014E" w:rsidP="00B8014E">
            <w:pPr>
              <w:shd w:val="clear" w:color="auto" w:fill="FFFFFF" w:themeFill="background1"/>
              <w:jc w:val="both"/>
              <w:rPr>
                <w:rFonts w:eastAsia="Times New Roman"/>
                <w:szCs w:val="24"/>
              </w:rPr>
            </w:pPr>
            <w:r w:rsidRPr="0077506C">
              <w:rPr>
                <w:rFonts w:eastAsia="Times New Roman"/>
                <w:szCs w:val="24"/>
              </w:rPr>
              <w:t>Drugi očekivani izravni učinak:</w:t>
            </w:r>
          </w:p>
          <w:p w:rsidR="00B8014E" w:rsidRPr="0077506C" w:rsidRDefault="00B8014E" w:rsidP="00B8014E">
            <w:pPr>
              <w:shd w:val="clear" w:color="auto" w:fill="FFFFFF" w:themeFill="background1"/>
              <w:rPr>
                <w:rFonts w:eastAsia="Times New Roman"/>
                <w:iCs/>
                <w:szCs w:val="24"/>
              </w:rPr>
            </w:pP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F96AE2" w:rsidRPr="000D7973"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Pr="000D7973" w:rsidRDefault="00F96AE2" w:rsidP="0077506C">
            <w:pPr>
              <w:shd w:val="clear" w:color="auto" w:fill="FFFFFF" w:themeFill="background1"/>
              <w:rPr>
                <w:szCs w:val="24"/>
              </w:rPr>
            </w:pPr>
            <w:r w:rsidRPr="000D7973">
              <w:rPr>
                <w:szCs w:val="24"/>
              </w:rPr>
              <w:t>Obrazloženje za analizu utvrđivanja izravnih učinaka od 5.4.1 do 5.4.13:</w:t>
            </w:r>
          </w:p>
          <w:p w:rsidR="00F96AE2" w:rsidRPr="000D7973" w:rsidRDefault="000D7973" w:rsidP="000D7973">
            <w:pPr>
              <w:shd w:val="clear" w:color="auto" w:fill="FFFFFF" w:themeFill="background1"/>
              <w:jc w:val="both"/>
              <w:rPr>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rad i tržište rada.</w:t>
            </w:r>
          </w:p>
        </w:tc>
      </w:tr>
      <w:tr w:rsidR="009B4E07" w:rsidRPr="0077506C" w:rsidTr="0077506C">
        <w:trPr>
          <w:trHeight w:val="284"/>
        </w:trPr>
        <w:tc>
          <w:tcPr>
            <w:tcW w:w="993" w:type="dxa"/>
            <w:shd w:val="clear" w:color="auto" w:fill="FFFFFF" w:themeFill="background1"/>
          </w:tcPr>
          <w:p w:rsidR="009B4E07" w:rsidRPr="0077506C" w:rsidRDefault="009B4E07" w:rsidP="0077506C">
            <w:pPr>
              <w:shd w:val="clear" w:color="auto" w:fill="FFFFFF" w:themeFill="background1"/>
              <w:rPr>
                <w:szCs w:val="24"/>
              </w:rPr>
            </w:pPr>
          </w:p>
        </w:tc>
        <w:tc>
          <w:tcPr>
            <w:tcW w:w="5670" w:type="dxa"/>
            <w:gridSpan w:val="2"/>
            <w:shd w:val="clear" w:color="auto" w:fill="FFFFFF" w:themeFill="background1"/>
          </w:tcPr>
          <w:p w:rsidR="009B4E07" w:rsidRPr="0077506C" w:rsidRDefault="009B4E07"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9B4E07" w:rsidRPr="00591761" w:rsidRDefault="009B4E07" w:rsidP="009B4E07"/>
        </w:tc>
        <w:tc>
          <w:tcPr>
            <w:tcW w:w="1028" w:type="dxa"/>
            <w:gridSpan w:val="2"/>
            <w:shd w:val="clear" w:color="auto" w:fill="FFFFFF" w:themeFill="background1"/>
          </w:tcPr>
          <w:p w:rsidR="009B4E07" w:rsidRPr="00591761" w:rsidRDefault="009B4E07" w:rsidP="009B4E07"/>
        </w:tc>
        <w:tc>
          <w:tcPr>
            <w:tcW w:w="956" w:type="dxa"/>
            <w:shd w:val="clear" w:color="auto" w:fill="FFFFFF" w:themeFill="background1"/>
          </w:tcPr>
          <w:p w:rsidR="009B4E07" w:rsidRDefault="009B4E07" w:rsidP="009B4E07"/>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5.4.17.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0D7973"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5.4.14. do 5.4.25.</w:t>
            </w:r>
            <w:r w:rsidR="000D7973">
              <w:rPr>
                <w:szCs w:val="24"/>
              </w:rPr>
              <w:t>:</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rad i tržište rada.</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9B4E0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9B4E0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r w:rsidR="0044761D" w:rsidRPr="0077506C" w:rsidTr="009B4E0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502641">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8014E" w:rsidRPr="0077506C" w:rsidTr="0077506C">
        <w:trPr>
          <w:trHeight w:val="284"/>
        </w:trPr>
        <w:tc>
          <w:tcPr>
            <w:tcW w:w="993" w:type="dxa"/>
            <w:shd w:val="clear" w:color="auto" w:fill="FFFFFF" w:themeFill="background1"/>
          </w:tcPr>
          <w:p w:rsidR="00B8014E" w:rsidRPr="0077506C" w:rsidRDefault="00B8014E" w:rsidP="00B8014E">
            <w:pPr>
              <w:shd w:val="clear" w:color="auto" w:fill="FFFFFF" w:themeFill="background1"/>
              <w:rPr>
                <w:szCs w:val="24"/>
              </w:rPr>
            </w:pPr>
            <w:r w:rsidRPr="0077506C">
              <w:rPr>
                <w:szCs w:val="24"/>
              </w:rPr>
              <w:t>5.5.1.</w:t>
            </w:r>
          </w:p>
        </w:tc>
        <w:tc>
          <w:tcPr>
            <w:tcW w:w="5670" w:type="dxa"/>
            <w:gridSpan w:val="2"/>
            <w:shd w:val="clear" w:color="auto" w:fill="FFFFFF" w:themeFill="background1"/>
          </w:tcPr>
          <w:p w:rsidR="00B8014E" w:rsidRPr="0077506C" w:rsidRDefault="00B8014E" w:rsidP="00B8014E">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B8014E" w:rsidRPr="000D7973" w:rsidRDefault="000D7973" w:rsidP="00B8014E">
            <w:pPr>
              <w:rPr>
                <w:b/>
              </w:rPr>
            </w:pPr>
            <w:r w:rsidRPr="000D7973">
              <w:rPr>
                <w:b/>
              </w:rPr>
              <w:t>NE</w:t>
            </w:r>
          </w:p>
        </w:tc>
        <w:tc>
          <w:tcPr>
            <w:tcW w:w="1028" w:type="dxa"/>
            <w:gridSpan w:val="2"/>
            <w:shd w:val="clear" w:color="auto" w:fill="FFFFFF" w:themeFill="background1"/>
          </w:tcPr>
          <w:p w:rsidR="00B8014E" w:rsidRPr="000D7973" w:rsidRDefault="000D7973" w:rsidP="00B8014E">
            <w:pPr>
              <w:rPr>
                <w:b/>
              </w:rPr>
            </w:pPr>
            <w:r w:rsidRPr="000D7973">
              <w:rPr>
                <w:b/>
              </w:rPr>
              <w:t>NE</w:t>
            </w:r>
          </w:p>
        </w:tc>
        <w:tc>
          <w:tcPr>
            <w:tcW w:w="956" w:type="dxa"/>
            <w:shd w:val="clear" w:color="auto" w:fill="FFFFFF" w:themeFill="background1"/>
          </w:tcPr>
          <w:p w:rsidR="00B8014E" w:rsidRPr="000D7973" w:rsidRDefault="000D7973" w:rsidP="00B8014E">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lastRenderedPageBreak/>
              <w:t>5.5.8.</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702CCC" w:rsidRPr="0077506C" w:rsidRDefault="00702CCC" w:rsidP="00702CC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702CCC" w:rsidRPr="0077506C" w:rsidTr="0077506C">
        <w:trPr>
          <w:trHeight w:val="284"/>
        </w:trPr>
        <w:tc>
          <w:tcPr>
            <w:tcW w:w="993" w:type="dxa"/>
            <w:shd w:val="clear" w:color="auto" w:fill="FFFFFF" w:themeFill="background1"/>
          </w:tcPr>
          <w:p w:rsidR="00702CCC" w:rsidRPr="0077506C" w:rsidRDefault="00702CCC" w:rsidP="00702CC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702CCC" w:rsidRPr="0077506C" w:rsidRDefault="00702CCC" w:rsidP="00702CCC">
            <w:pPr>
              <w:shd w:val="clear" w:color="auto" w:fill="FFFFFF" w:themeFill="background1"/>
              <w:jc w:val="both"/>
              <w:rPr>
                <w:rFonts w:eastAsia="Times New Roman"/>
                <w:szCs w:val="24"/>
              </w:rPr>
            </w:pPr>
            <w:r w:rsidRPr="0077506C">
              <w:rPr>
                <w:rFonts w:eastAsia="Times New Roman"/>
                <w:szCs w:val="24"/>
              </w:rPr>
              <w:t>Drugi očekivani izravni učinak:</w:t>
            </w:r>
          </w:p>
          <w:p w:rsidR="00702CCC" w:rsidRPr="0077506C" w:rsidRDefault="00702CCC" w:rsidP="00702CCC">
            <w:pPr>
              <w:shd w:val="clear" w:color="auto" w:fill="FFFFFF" w:themeFill="background1"/>
              <w:rPr>
                <w:szCs w:val="24"/>
              </w:rPr>
            </w:pPr>
          </w:p>
        </w:tc>
        <w:tc>
          <w:tcPr>
            <w:tcW w:w="1276" w:type="dxa"/>
            <w:gridSpan w:val="2"/>
            <w:shd w:val="clear" w:color="auto" w:fill="FFFFFF" w:themeFill="background1"/>
          </w:tcPr>
          <w:p w:rsidR="00702CCC" w:rsidRPr="000D7973" w:rsidRDefault="000D7973" w:rsidP="00702CCC">
            <w:pPr>
              <w:rPr>
                <w:b/>
              </w:rPr>
            </w:pPr>
            <w:r w:rsidRPr="000D7973">
              <w:rPr>
                <w:b/>
              </w:rPr>
              <w:t>NE</w:t>
            </w:r>
          </w:p>
        </w:tc>
        <w:tc>
          <w:tcPr>
            <w:tcW w:w="1028" w:type="dxa"/>
            <w:gridSpan w:val="2"/>
            <w:shd w:val="clear" w:color="auto" w:fill="FFFFFF" w:themeFill="background1"/>
          </w:tcPr>
          <w:p w:rsidR="00702CCC" w:rsidRPr="000D7973" w:rsidRDefault="000D7973" w:rsidP="00702CCC">
            <w:pPr>
              <w:rPr>
                <w:b/>
              </w:rPr>
            </w:pPr>
            <w:r w:rsidRPr="000D7973">
              <w:rPr>
                <w:b/>
              </w:rPr>
              <w:t>NE</w:t>
            </w:r>
          </w:p>
        </w:tc>
        <w:tc>
          <w:tcPr>
            <w:tcW w:w="956" w:type="dxa"/>
            <w:shd w:val="clear" w:color="auto" w:fill="FFFFFF" w:themeFill="background1"/>
          </w:tcPr>
          <w:p w:rsidR="00702CCC" w:rsidRPr="000D7973" w:rsidRDefault="000D7973" w:rsidP="00702CCC">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5.5.12. do 5.5.22.</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zaštitu okoliša.</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44761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44761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r>
            <w:tr w:rsidR="0044761D" w:rsidRPr="0077506C" w:rsidTr="0044761D">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r w:rsidR="0044761D" w:rsidRPr="0077506C" w:rsidTr="0044761D">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13575C">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44761D" w:rsidRPr="0077506C" w:rsidTr="0077506C">
        <w:trPr>
          <w:trHeight w:val="943"/>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701"/>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5.6.3.</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5.6.4.</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5.6.5.</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5.6.6.</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5.6.7.</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5.6.8.</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5.6.9.</w:t>
            </w:r>
          </w:p>
        </w:tc>
        <w:tc>
          <w:tcPr>
            <w:tcW w:w="5670" w:type="dxa"/>
            <w:gridSpan w:val="2"/>
            <w:shd w:val="clear" w:color="auto" w:fill="FFFFFF" w:themeFill="background1"/>
          </w:tcPr>
          <w:p w:rsidR="0044761D" w:rsidRPr="0077506C" w:rsidRDefault="0044761D" w:rsidP="0044761D">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5.6.1. do 5.6.9.:</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lastRenderedPageBreak/>
              <w:t>5.6.17.</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44761D" w:rsidRPr="0077506C" w:rsidTr="0077506C">
        <w:trPr>
          <w:trHeight w:val="284"/>
        </w:trPr>
        <w:tc>
          <w:tcPr>
            <w:tcW w:w="993" w:type="dxa"/>
            <w:shd w:val="clear" w:color="auto" w:fill="FFFFFF" w:themeFill="background1"/>
          </w:tcPr>
          <w:p w:rsidR="0044761D" w:rsidRPr="0077506C" w:rsidRDefault="0044761D" w:rsidP="0044761D">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44761D" w:rsidRPr="0077506C" w:rsidRDefault="0044761D" w:rsidP="0044761D">
            <w:pPr>
              <w:shd w:val="clear" w:color="auto" w:fill="FFFFFF" w:themeFill="background1"/>
              <w:rPr>
                <w:szCs w:val="24"/>
              </w:rPr>
            </w:pPr>
            <w:r w:rsidRPr="0077506C">
              <w:rPr>
                <w:szCs w:val="24"/>
              </w:rPr>
              <w:t>Drugi utvrđeni adresati:</w:t>
            </w:r>
          </w:p>
          <w:p w:rsidR="0044761D" w:rsidRPr="0077506C" w:rsidRDefault="0044761D" w:rsidP="0044761D">
            <w:pPr>
              <w:shd w:val="clear" w:color="auto" w:fill="FFFFFF" w:themeFill="background1"/>
              <w:rPr>
                <w:szCs w:val="24"/>
              </w:rPr>
            </w:pPr>
          </w:p>
        </w:tc>
        <w:tc>
          <w:tcPr>
            <w:tcW w:w="1276" w:type="dxa"/>
            <w:gridSpan w:val="2"/>
            <w:shd w:val="clear" w:color="auto" w:fill="FFFFFF" w:themeFill="background1"/>
          </w:tcPr>
          <w:p w:rsidR="0044761D" w:rsidRPr="000D7973" w:rsidRDefault="000D7973" w:rsidP="0044761D">
            <w:pPr>
              <w:rPr>
                <w:b/>
              </w:rPr>
            </w:pPr>
            <w:r w:rsidRPr="000D7973">
              <w:rPr>
                <w:b/>
              </w:rPr>
              <w:t>NE</w:t>
            </w:r>
          </w:p>
        </w:tc>
        <w:tc>
          <w:tcPr>
            <w:tcW w:w="1028" w:type="dxa"/>
            <w:gridSpan w:val="2"/>
            <w:shd w:val="clear" w:color="auto" w:fill="FFFFFF" w:themeFill="background1"/>
          </w:tcPr>
          <w:p w:rsidR="0044761D" w:rsidRPr="000D7973" w:rsidRDefault="000D7973" w:rsidP="0044761D">
            <w:pPr>
              <w:rPr>
                <w:b/>
              </w:rPr>
            </w:pPr>
            <w:r w:rsidRPr="000D7973">
              <w:rPr>
                <w:b/>
              </w:rPr>
              <w:t>NE</w:t>
            </w:r>
          </w:p>
        </w:tc>
        <w:tc>
          <w:tcPr>
            <w:tcW w:w="956" w:type="dxa"/>
            <w:shd w:val="clear" w:color="auto" w:fill="FFFFFF" w:themeFill="background1"/>
          </w:tcPr>
          <w:p w:rsidR="0044761D" w:rsidRPr="000D7973" w:rsidRDefault="000D7973" w:rsidP="0044761D">
            <w:pPr>
              <w:rPr>
                <w:b/>
              </w:rPr>
            </w:pPr>
            <w:r w:rsidRPr="000D7973">
              <w:rPr>
                <w:b/>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5.6.12. do 5.6.23.</w:t>
            </w:r>
          </w:p>
          <w:p w:rsidR="00F96AE2" w:rsidRPr="0077506C" w:rsidRDefault="000D7973" w:rsidP="000D7973">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što neće imati učinaka na zaštitu ljudskih prava.</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F64A8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44761D" w:rsidRPr="0077506C" w:rsidTr="00F64A8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4761D" w:rsidRPr="0077506C" w:rsidRDefault="0044761D" w:rsidP="0044761D">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r>
            <w:tr w:rsidR="0044761D" w:rsidRPr="0077506C" w:rsidTr="00F64A8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r w:rsidR="0044761D" w:rsidRPr="0077506C" w:rsidTr="00F64A8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4761D" w:rsidRPr="0077506C" w:rsidRDefault="0044761D" w:rsidP="0044761D">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44761D" w:rsidRPr="0077506C" w:rsidRDefault="0044761D" w:rsidP="0044761D">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44761D" w:rsidRDefault="000D7973" w:rsidP="0044761D">
                  <w:r w:rsidRPr="00B4569F">
                    <w:t>NE</w:t>
                  </w:r>
                </w:p>
              </w:tc>
              <w:tc>
                <w:tcPr>
                  <w:tcW w:w="1515"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44761D" w:rsidRPr="000D7973" w:rsidRDefault="000D7973" w:rsidP="0044761D">
                  <w:pPr>
                    <w:rPr>
                      <w:b/>
                    </w:rPr>
                  </w:pPr>
                  <w:r w:rsidRPr="000D7973">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702CCC"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 xml:space="preserve">Obrazloženje: </w:t>
            </w:r>
          </w:p>
          <w:p w:rsidR="00F96AE2" w:rsidRPr="0077506C" w:rsidRDefault="000D7973" w:rsidP="00B57CD7">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w:t>
            </w:r>
            <w:r w:rsidRPr="000D7973">
              <w:rPr>
                <w:b/>
                <w:szCs w:val="24"/>
              </w:rPr>
              <w:lastRenderedPageBreak/>
              <w:t xml:space="preserve">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w:t>
            </w:r>
            <w:r w:rsidR="00B57CD7">
              <w:rPr>
                <w:b/>
                <w:szCs w:val="24"/>
              </w:rPr>
              <w:t>m Nacrtom prijedloga Zakona te</w:t>
            </w:r>
            <w:r>
              <w:rPr>
                <w:b/>
                <w:szCs w:val="24"/>
              </w:rPr>
              <w:t xml:space="preserve"> neće </w:t>
            </w:r>
            <w:r w:rsidR="00B57CD7" w:rsidRPr="00B57CD7">
              <w:rPr>
                <w:b/>
                <w:szCs w:val="24"/>
              </w:rPr>
              <w:t xml:space="preserve">imati učinke na </w:t>
            </w:r>
            <w:r w:rsidR="00B57CD7">
              <w:rPr>
                <w:b/>
                <w:szCs w:val="24"/>
              </w:rPr>
              <w:t>male i srednje poduzetnike</w:t>
            </w:r>
            <w:r w:rsidR="00B57CD7" w:rsidRPr="00B57CD7">
              <w:rPr>
                <w:b/>
                <w:szCs w:val="24"/>
              </w:rPr>
              <w:t xml:space="preserve"> kroz administrativne troškove provedbe postupaka koje bi značile trošak vremena za obavljanje pojedinih administrativnih radnji za ispunjavanje propisanih zahtjeva, plaćanje naknada i davanja</w:t>
            </w:r>
            <w:r>
              <w:rPr>
                <w:b/>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57CD7" w:rsidP="00B57CD7">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te neće</w:t>
            </w:r>
            <w:r>
              <w:t xml:space="preserve"> </w:t>
            </w:r>
            <w:r w:rsidRPr="00B57CD7">
              <w:rPr>
                <w:b/>
                <w:szCs w:val="24"/>
              </w:rPr>
              <w:t>imati učinke na tržišnu konkurenciju i konkurentnost unutarnjeg tržišta EU u smislu prepreka slobodi tržišne konkurencije</w:t>
            </w:r>
            <w:r>
              <w:rPr>
                <w:b/>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57CD7" w:rsidP="00B57CD7">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 xml:space="preserve">stupak će se propisati ovim Nacrtom prijedloga Zakona te se ne </w:t>
            </w:r>
            <w:r w:rsidRPr="00B57CD7">
              <w:rPr>
                <w:b/>
                <w:szCs w:val="24"/>
              </w:rPr>
              <w:t>uvod</w:t>
            </w:r>
            <w:r>
              <w:rPr>
                <w:b/>
                <w:szCs w:val="24"/>
              </w:rPr>
              <w:t>e</w:t>
            </w:r>
            <w:r w:rsidRPr="00B57CD7">
              <w:rPr>
                <w:b/>
                <w:szCs w:val="24"/>
              </w:rPr>
              <w:t xml:space="preserve"> naknade i davanja koje će imati učinke na financijske rezultate poslovanja poduzetnika te </w:t>
            </w:r>
            <w:r>
              <w:rPr>
                <w:b/>
                <w:szCs w:val="24"/>
              </w:rPr>
              <w:t>ne</w:t>
            </w:r>
            <w:r w:rsidRPr="00B57CD7">
              <w:rPr>
                <w:b/>
                <w:szCs w:val="24"/>
              </w:rPr>
              <w:t xml:space="preserve"> postoji trošak prilagodbe zbog primjene propisa</w:t>
            </w:r>
            <w:r>
              <w:rPr>
                <w:b/>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44761D"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57CD7" w:rsidP="00B57CD7">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te neće imati posebne učinke na mikro poduzetnike.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Default="00B57CD7" w:rsidP="00B57CD7">
            <w:pPr>
              <w:shd w:val="clear" w:color="auto" w:fill="FFFFFF" w:themeFill="background1"/>
              <w:jc w:val="both"/>
              <w:rPr>
                <w:b/>
                <w:szCs w:val="24"/>
              </w:rPr>
            </w:pPr>
            <w:r>
              <w:rPr>
                <w:b/>
                <w:szCs w:val="24"/>
              </w:rPr>
              <w:t>Nacrtom prijedloga Zakona</w:t>
            </w:r>
            <w:r w:rsidRPr="000D7973">
              <w:rPr>
                <w:b/>
                <w:szCs w:val="24"/>
              </w:rPr>
              <w:t xml:space="preserve"> uskladit će se i urediti postupak odobravanja </w:t>
            </w:r>
            <w:proofErr w:type="spellStart"/>
            <w:r w:rsidRPr="000D7973">
              <w:rPr>
                <w:b/>
                <w:szCs w:val="24"/>
              </w:rPr>
              <w:t>biocidnih</w:t>
            </w:r>
            <w:proofErr w:type="spellEnd"/>
            <w:r w:rsidRPr="000D7973">
              <w:rPr>
                <w:b/>
                <w:szCs w:val="24"/>
              </w:rPr>
              <w:t xml:space="preserve"> proizvoda s člankom 89. Uredbe (EU) br. 528/2012, definirat će se uloga Centra za kontrolu otrovanja u smislu provedbe članka 65. Uredbe te propisati dodatne prekršajne odredbe za koje se pokazalo da nedostaju, zbog čega je do sada bilo onemogućeno postupanje inspekcije. Također, Nacrtom prijedloga Zakona stavit će </w:t>
            </w:r>
            <w:r w:rsidRPr="000D7973">
              <w:rPr>
                <w:b/>
                <w:szCs w:val="24"/>
              </w:rPr>
              <w:lastRenderedPageBreak/>
              <w:t xml:space="preserve">se izvan snage Zakon o </w:t>
            </w:r>
            <w:proofErr w:type="spellStart"/>
            <w:r w:rsidRPr="000D7973">
              <w:rPr>
                <w:b/>
                <w:szCs w:val="24"/>
              </w:rPr>
              <w:t>biocidnim</w:t>
            </w:r>
            <w:proofErr w:type="spellEnd"/>
            <w:r w:rsidRPr="000D7973">
              <w:rPr>
                <w:b/>
                <w:szCs w:val="24"/>
              </w:rPr>
              <w:t xml:space="preserve"> pripravcima, a po</w:t>
            </w:r>
            <w:r>
              <w:rPr>
                <w:b/>
                <w:szCs w:val="24"/>
              </w:rPr>
              <w:t>stupak će se propisati ovim Nacrtom prijedloga Zakona te neće imati učinke na male i srednje poduzetnike.</w:t>
            </w:r>
          </w:p>
          <w:p w:rsidR="00B57CD7" w:rsidRPr="0077506C" w:rsidRDefault="00B57CD7" w:rsidP="00B57CD7">
            <w:pPr>
              <w:shd w:val="clear" w:color="auto" w:fill="FFFFFF" w:themeFill="background1"/>
              <w:jc w:val="both"/>
              <w:rPr>
                <w:szCs w:val="24"/>
              </w:rPr>
            </w:pPr>
            <w:r>
              <w:rPr>
                <w:b/>
                <w:szCs w:val="24"/>
              </w:rPr>
              <w:t xml:space="preserve">Cilj ovoga Nacrta prijedloga Zakona je </w:t>
            </w:r>
            <w:r w:rsidRPr="00B57CD7">
              <w:rPr>
                <w:b/>
                <w:szCs w:val="24"/>
              </w:rPr>
              <w:t xml:space="preserve">uskladiti postupak registracije </w:t>
            </w:r>
            <w:proofErr w:type="spellStart"/>
            <w:r w:rsidRPr="00B57CD7">
              <w:rPr>
                <w:b/>
                <w:szCs w:val="24"/>
              </w:rPr>
              <w:t>biocidnih</w:t>
            </w:r>
            <w:proofErr w:type="spellEnd"/>
            <w:r w:rsidRPr="00B57CD7">
              <w:rPr>
                <w:b/>
                <w:szCs w:val="24"/>
              </w:rPr>
              <w:t xml:space="preserve"> proizvoda s Uredbom (EU) br. 528/2012, osigurati redovito objavljivanje odobrenih proizvoda na mrežnim stranicama Ministarstva zdravstva umjesto objavljivanja popisa u „Narodnim novinama“, osigurati prikupljanje podataka o trovanjima za potrebe izv</w:t>
            </w:r>
            <w:r>
              <w:rPr>
                <w:b/>
                <w:szCs w:val="24"/>
              </w:rPr>
              <w:t>ješćivanja iz članka 65. Uredbe te</w:t>
            </w:r>
            <w:r w:rsidRPr="00B57CD7">
              <w:rPr>
                <w:b/>
                <w:szCs w:val="24"/>
              </w:rPr>
              <w:t xml:space="preserve"> propisati dodatne prekršajne odredbe za koje se tijekom provedbe Zakona pokazalo da nedostaju.</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8"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57CD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jc w:val="both"/>
              <w:rPr>
                <w:rFonts w:eastAsia="Times New Roman"/>
                <w:szCs w:val="24"/>
              </w:rPr>
            </w:pPr>
            <w:r w:rsidRPr="0077506C">
              <w:rPr>
                <w:rFonts w:eastAsia="Times New Roman"/>
                <w:szCs w:val="24"/>
              </w:rPr>
              <w:t>Potpis:</w:t>
            </w:r>
          </w:p>
          <w:p w:rsidR="00B57CD7" w:rsidRDefault="00B57CD7" w:rsidP="0077506C">
            <w:pPr>
              <w:shd w:val="clear" w:color="auto" w:fill="FFFFFF" w:themeFill="background1"/>
              <w:jc w:val="both"/>
              <w:rPr>
                <w:rFonts w:eastAsia="Times New Roman"/>
                <w:szCs w:val="24"/>
              </w:rPr>
            </w:pPr>
          </w:p>
          <w:p w:rsidR="00B57CD7" w:rsidRDefault="00B57CD7" w:rsidP="0077506C">
            <w:pPr>
              <w:shd w:val="clear" w:color="auto" w:fill="FFFFFF" w:themeFill="background1"/>
              <w:jc w:val="both"/>
              <w:rPr>
                <w:rFonts w:eastAsia="Times New Roman"/>
                <w:szCs w:val="24"/>
              </w:rPr>
            </w:pPr>
            <w:r>
              <w:rPr>
                <w:rFonts w:eastAsia="Times New Roman"/>
                <w:szCs w:val="24"/>
              </w:rPr>
              <w:t xml:space="preserve">                                                            </w:t>
            </w:r>
          </w:p>
          <w:p w:rsidR="00B57CD7" w:rsidRDefault="00B57CD7" w:rsidP="0077506C">
            <w:pPr>
              <w:shd w:val="clear" w:color="auto" w:fill="FFFFFF" w:themeFill="background1"/>
              <w:jc w:val="both"/>
              <w:rPr>
                <w:rFonts w:eastAsia="Times New Roman"/>
                <w:szCs w:val="24"/>
              </w:rPr>
            </w:pPr>
            <w:r>
              <w:rPr>
                <w:rFonts w:eastAsia="Times New Roman"/>
                <w:szCs w:val="24"/>
              </w:rPr>
              <w:lastRenderedPageBreak/>
              <w:t xml:space="preserve">                                                                       </w:t>
            </w:r>
          </w:p>
          <w:p w:rsidR="00B57CD7" w:rsidRDefault="00B57CD7" w:rsidP="0077506C">
            <w:pPr>
              <w:shd w:val="clear" w:color="auto" w:fill="FFFFFF" w:themeFill="background1"/>
              <w:jc w:val="both"/>
              <w:rPr>
                <w:rFonts w:eastAsia="Times New Roman"/>
                <w:szCs w:val="24"/>
              </w:rPr>
            </w:pPr>
            <w:r>
              <w:rPr>
                <w:rFonts w:eastAsia="Times New Roman"/>
                <w:szCs w:val="24"/>
              </w:rPr>
              <w:t xml:space="preserve">                                                                        MINISTAR</w:t>
            </w:r>
          </w:p>
          <w:p w:rsidR="00B57CD7" w:rsidRDefault="00B57CD7" w:rsidP="0077506C">
            <w:pPr>
              <w:shd w:val="clear" w:color="auto" w:fill="FFFFFF" w:themeFill="background1"/>
              <w:jc w:val="both"/>
              <w:rPr>
                <w:rFonts w:eastAsia="Times New Roman"/>
                <w:szCs w:val="24"/>
              </w:rPr>
            </w:pPr>
          </w:p>
          <w:p w:rsidR="007D2EDD" w:rsidRDefault="00B57CD7" w:rsidP="0077506C">
            <w:pPr>
              <w:shd w:val="clear" w:color="auto" w:fill="FFFFFF" w:themeFill="background1"/>
              <w:jc w:val="both"/>
              <w:rPr>
                <w:rFonts w:eastAsia="Times New Roman"/>
                <w:szCs w:val="24"/>
              </w:rPr>
            </w:pPr>
            <w:r>
              <w:rPr>
                <w:rFonts w:eastAsia="Times New Roman"/>
                <w:szCs w:val="24"/>
              </w:rPr>
              <w:t xml:space="preserve">                                                   </w:t>
            </w:r>
            <w:r w:rsidR="007D2EDD" w:rsidRPr="007D2EDD">
              <w:rPr>
                <w:rFonts w:eastAsia="Times New Roman"/>
                <w:szCs w:val="24"/>
              </w:rPr>
              <w:t xml:space="preserve">prof. dr. </w:t>
            </w:r>
            <w:proofErr w:type="spellStart"/>
            <w:r w:rsidR="007D2EDD" w:rsidRPr="007D2EDD">
              <w:rPr>
                <w:rFonts w:eastAsia="Times New Roman"/>
                <w:szCs w:val="24"/>
              </w:rPr>
              <w:t>sc</w:t>
            </w:r>
            <w:proofErr w:type="spellEnd"/>
            <w:r w:rsidR="007D2EDD" w:rsidRPr="007D2EDD">
              <w:rPr>
                <w:rFonts w:eastAsia="Times New Roman"/>
                <w:szCs w:val="24"/>
              </w:rPr>
              <w:t>. Milan Kujundžić, dr. med.</w:t>
            </w:r>
          </w:p>
          <w:p w:rsidR="007D2EDD" w:rsidRDefault="007D2EDD" w:rsidP="0077506C">
            <w:pPr>
              <w:shd w:val="clear" w:color="auto" w:fill="FFFFFF" w:themeFill="background1"/>
              <w:jc w:val="both"/>
              <w:rPr>
                <w:rFonts w:eastAsia="Times New Roman"/>
                <w:szCs w:val="24"/>
              </w:rPr>
            </w:pPr>
          </w:p>
          <w:p w:rsidR="00B57CD7" w:rsidRPr="0077506C" w:rsidRDefault="00B57CD7" w:rsidP="0077506C">
            <w:pPr>
              <w:shd w:val="clear" w:color="auto" w:fill="FFFFFF" w:themeFill="background1"/>
              <w:jc w:val="both"/>
              <w:rPr>
                <w:rFonts w:eastAsia="Times New Roman"/>
                <w:szCs w:val="24"/>
              </w:rPr>
            </w:pPr>
          </w:p>
          <w:p w:rsidR="00F96AE2" w:rsidRPr="0077506C" w:rsidRDefault="0077506C" w:rsidP="005A608F">
            <w:pPr>
              <w:shd w:val="clear" w:color="auto" w:fill="FFFFFF" w:themeFill="background1"/>
              <w:jc w:val="both"/>
              <w:rPr>
                <w:rFonts w:eastAsia="Times New Roman"/>
                <w:szCs w:val="24"/>
              </w:rPr>
            </w:pPr>
            <w:r w:rsidRPr="0077506C">
              <w:rPr>
                <w:rFonts w:eastAsia="Times New Roman"/>
                <w:szCs w:val="24"/>
              </w:rPr>
              <w:t>Datum:</w:t>
            </w:r>
            <w:r w:rsidR="00F2404B">
              <w:rPr>
                <w:rFonts w:eastAsia="Times New Roman"/>
                <w:szCs w:val="24"/>
              </w:rPr>
              <w:t xml:space="preserve"> </w:t>
            </w:r>
            <w:r w:rsidR="005A608F">
              <w:rPr>
                <w:rFonts w:eastAsia="Times New Roman"/>
                <w:szCs w:val="24"/>
              </w:rPr>
              <w:t>rujan</w:t>
            </w:r>
            <w:r w:rsidR="007D2EDD">
              <w:rPr>
                <w:rFonts w:eastAsia="Times New Roman"/>
                <w:szCs w:val="24"/>
              </w:rPr>
              <w:t xml:space="preserve"> 2018.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21" w:rsidRDefault="00B12B21" w:rsidP="0077506C">
      <w:r>
        <w:separator/>
      </w:r>
    </w:p>
  </w:endnote>
  <w:endnote w:type="continuationSeparator" w:id="0">
    <w:p w:rsidR="00B12B21" w:rsidRDefault="00B12B21"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0D7973" w:rsidRDefault="000D7973">
        <w:pPr>
          <w:pStyle w:val="Podnoje"/>
          <w:jc w:val="center"/>
        </w:pPr>
        <w:r>
          <w:fldChar w:fldCharType="begin"/>
        </w:r>
        <w:r>
          <w:instrText>PAGE   \* MERGEFORMAT</w:instrText>
        </w:r>
        <w:r>
          <w:fldChar w:fldCharType="separate"/>
        </w:r>
        <w:r w:rsidR="00680F0A">
          <w:rPr>
            <w:noProof/>
          </w:rPr>
          <w:t>1</w:t>
        </w:r>
        <w:r>
          <w:fldChar w:fldCharType="end"/>
        </w:r>
      </w:p>
    </w:sdtContent>
  </w:sdt>
  <w:p w:rsidR="000D7973" w:rsidRDefault="000D79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21" w:rsidRDefault="00B12B21" w:rsidP="0077506C">
      <w:r>
        <w:separator/>
      </w:r>
    </w:p>
  </w:footnote>
  <w:footnote w:type="continuationSeparator" w:id="0">
    <w:p w:rsidR="00B12B21" w:rsidRDefault="00B12B21"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026A6"/>
    <w:rsid w:val="000313FB"/>
    <w:rsid w:val="0003722E"/>
    <w:rsid w:val="00052D56"/>
    <w:rsid w:val="00085148"/>
    <w:rsid w:val="000C6752"/>
    <w:rsid w:val="000D7973"/>
    <w:rsid w:val="000E72FA"/>
    <w:rsid w:val="00136019"/>
    <w:rsid w:val="0014476E"/>
    <w:rsid w:val="00175C52"/>
    <w:rsid w:val="001C6A74"/>
    <w:rsid w:val="001F13A3"/>
    <w:rsid w:val="00274919"/>
    <w:rsid w:val="002763F4"/>
    <w:rsid w:val="002929B1"/>
    <w:rsid w:val="002B00C1"/>
    <w:rsid w:val="002B7B76"/>
    <w:rsid w:val="002C55B1"/>
    <w:rsid w:val="002F652D"/>
    <w:rsid w:val="00317B82"/>
    <w:rsid w:val="003515D9"/>
    <w:rsid w:val="00372D1F"/>
    <w:rsid w:val="0038035B"/>
    <w:rsid w:val="00387219"/>
    <w:rsid w:val="003D3DF7"/>
    <w:rsid w:val="004041E8"/>
    <w:rsid w:val="0044761D"/>
    <w:rsid w:val="00494DE3"/>
    <w:rsid w:val="004A6900"/>
    <w:rsid w:val="004D1810"/>
    <w:rsid w:val="00536276"/>
    <w:rsid w:val="005A3242"/>
    <w:rsid w:val="005A608F"/>
    <w:rsid w:val="005B7056"/>
    <w:rsid w:val="005B75C4"/>
    <w:rsid w:val="005F350E"/>
    <w:rsid w:val="005F7676"/>
    <w:rsid w:val="00625B0C"/>
    <w:rsid w:val="00654513"/>
    <w:rsid w:val="00680F0A"/>
    <w:rsid w:val="006E0240"/>
    <w:rsid w:val="006E4B45"/>
    <w:rsid w:val="00702CCC"/>
    <w:rsid w:val="007214EF"/>
    <w:rsid w:val="00733269"/>
    <w:rsid w:val="00756A47"/>
    <w:rsid w:val="0076783A"/>
    <w:rsid w:val="0077506C"/>
    <w:rsid w:val="00792919"/>
    <w:rsid w:val="007D2EDD"/>
    <w:rsid w:val="007E315D"/>
    <w:rsid w:val="007F1173"/>
    <w:rsid w:val="00897E9E"/>
    <w:rsid w:val="00900AFB"/>
    <w:rsid w:val="00953371"/>
    <w:rsid w:val="00956616"/>
    <w:rsid w:val="00962236"/>
    <w:rsid w:val="00986C48"/>
    <w:rsid w:val="009B4E07"/>
    <w:rsid w:val="009E0B7D"/>
    <w:rsid w:val="00A70780"/>
    <w:rsid w:val="00A907DD"/>
    <w:rsid w:val="00AF42A0"/>
    <w:rsid w:val="00B12B21"/>
    <w:rsid w:val="00B210AC"/>
    <w:rsid w:val="00B57CD7"/>
    <w:rsid w:val="00B8014E"/>
    <w:rsid w:val="00B90E73"/>
    <w:rsid w:val="00B92CC5"/>
    <w:rsid w:val="00BA2C7E"/>
    <w:rsid w:val="00C5663B"/>
    <w:rsid w:val="00C93296"/>
    <w:rsid w:val="00CB3E9D"/>
    <w:rsid w:val="00CC1916"/>
    <w:rsid w:val="00CF63E5"/>
    <w:rsid w:val="00D07F06"/>
    <w:rsid w:val="00D24D7F"/>
    <w:rsid w:val="00D25C62"/>
    <w:rsid w:val="00D47E1B"/>
    <w:rsid w:val="00D62995"/>
    <w:rsid w:val="00D712C0"/>
    <w:rsid w:val="00D71340"/>
    <w:rsid w:val="00D87622"/>
    <w:rsid w:val="00DA2E2C"/>
    <w:rsid w:val="00E21C8B"/>
    <w:rsid w:val="00E256B5"/>
    <w:rsid w:val="00E32112"/>
    <w:rsid w:val="00E465E3"/>
    <w:rsid w:val="00E564C2"/>
    <w:rsid w:val="00F05EFB"/>
    <w:rsid w:val="00F2404B"/>
    <w:rsid w:val="00F64A82"/>
    <w:rsid w:val="00F8095F"/>
    <w:rsid w:val="00F96AE2"/>
    <w:rsid w:val="00FB31A8"/>
    <w:rsid w:val="00FC3444"/>
    <w:rsid w:val="00FD490F"/>
    <w:rsid w:val="00FF6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247D"/>
  <w15:docId w15:val="{76DE90DE-8EE7-4845-8F6F-4E1F7A5E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F539-E773-43A3-9F04-A65B5C71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5115</Words>
  <Characters>29162</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Sekačić Kristina</cp:lastModifiedBy>
  <cp:revision>10</cp:revision>
  <cp:lastPrinted>2018-09-04T08:40:00Z</cp:lastPrinted>
  <dcterms:created xsi:type="dcterms:W3CDTF">2018-09-04T11:30:00Z</dcterms:created>
  <dcterms:modified xsi:type="dcterms:W3CDTF">2018-09-28T14:36:00Z</dcterms:modified>
</cp:coreProperties>
</file>